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center"/>
        <w:rPr>
          <w:rFonts w:ascii="Arial" w:cs="Arial" w:eastAsia="Arial" w:hAnsi="Arial"/>
          <w:b w:val="1"/>
          <w:i w:val="0"/>
          <w:smallCaps w:val="0"/>
          <w:strike w:val="0"/>
          <w:color w:val="595959"/>
          <w:sz w:val="32"/>
          <w:szCs w:val="32"/>
          <w:u w:val="none"/>
          <w:shd w:fill="auto" w:val="clear"/>
          <w:vertAlign w:val="baseline"/>
        </w:rPr>
      </w:pPr>
      <w:r w:rsidDel="00000000" w:rsidR="00000000" w:rsidRPr="00000000">
        <w:rPr>
          <w:rFonts w:ascii="Arial" w:cs="Arial" w:eastAsia="Arial" w:hAnsi="Arial"/>
          <w:b w:val="1"/>
          <w:i w:val="0"/>
          <w:smallCaps w:val="0"/>
          <w:strike w:val="0"/>
          <w:color w:val="595959"/>
          <w:sz w:val="32"/>
          <w:szCs w:val="32"/>
          <w:u w:val="none"/>
          <w:shd w:fill="auto" w:val="clear"/>
          <w:vertAlign w:val="baseline"/>
          <w:rtl w:val="0"/>
        </w:rPr>
        <w:t xml:space="preserve">Oportunidades de inversión para atender la creciente demanda en aeropuertos de América Latina a 2040 </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center"/>
        <w:rPr>
          <w:rFonts w:ascii="Arial Narrow" w:cs="Arial Narrow" w:eastAsia="Arial Narrow" w:hAnsi="Arial Narrow"/>
          <w:b w:val="0"/>
          <w:i w:val="1"/>
          <w:smallCaps w:val="0"/>
          <w:strike w:val="0"/>
          <w:color w:val="80808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808080"/>
          <w:sz w:val="24"/>
          <w:szCs w:val="24"/>
          <w:u w:val="none"/>
          <w:shd w:fill="auto" w:val="clear"/>
          <w:vertAlign w:val="baseline"/>
          <w:rtl w:val="0"/>
        </w:rPr>
        <w:t xml:space="preserve">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1"/>
          <w:smallCaps w:val="0"/>
          <w:strike w:val="0"/>
          <w:color w:val="808080"/>
          <w:sz w:val="24"/>
          <w:szCs w:val="24"/>
          <w:u w:val="none"/>
          <w:vertAlign w:val="baseline"/>
        </w:rPr>
      </w:pPr>
      <w:r w:rsidDel="00000000" w:rsidR="00000000" w:rsidRPr="00000000">
        <w:rPr>
          <w:rFonts w:ascii="Arial Narrow" w:cs="Arial Narrow" w:eastAsia="Arial Narrow" w:hAnsi="Arial Narrow"/>
          <w:b w:val="0"/>
          <w:i w:val="1"/>
          <w:smallCaps w:val="0"/>
          <w:strike w:val="0"/>
          <w:color w:val="808080"/>
          <w:sz w:val="24"/>
          <w:szCs w:val="24"/>
          <w:u w:val="none"/>
          <w:shd w:fill="auto" w:val="clear"/>
          <w:vertAlign w:val="baseline"/>
          <w:rtl w:val="0"/>
        </w:rPr>
        <w:t xml:space="preserve">Las in</w:t>
      </w:r>
      <w:r w:rsidDel="00000000" w:rsidR="00000000" w:rsidRPr="00000000">
        <w:rPr>
          <w:rFonts w:ascii="Arial Narrow" w:cs="Arial Narrow" w:eastAsia="Arial Narrow" w:hAnsi="Arial Narrow"/>
          <w:b w:val="0"/>
          <w:i w:val="1"/>
          <w:smallCaps w:val="0"/>
          <w:strike w:val="0"/>
          <w:color w:val="808080"/>
          <w:sz w:val="24"/>
          <w:szCs w:val="24"/>
          <w:u w:val="none"/>
          <w:vertAlign w:val="baseline"/>
          <w:rtl w:val="0"/>
        </w:rPr>
        <w:t xml:space="preserve">versiones estimadas para aumentar la capacidad del sector en el periodo 2016-2040 ascienden a un total de USD 53.150 millones a precios de 2016, </w:t>
      </w:r>
      <w:r w:rsidDel="00000000" w:rsidR="00000000" w:rsidRPr="00000000">
        <w:rPr>
          <w:rFonts w:ascii="Arial Narrow" w:cs="Arial Narrow" w:eastAsia="Arial Narrow" w:hAnsi="Arial Narrow"/>
          <w:b w:val="0"/>
          <w:i w:val="1"/>
          <w:smallCaps w:val="0"/>
          <w:strike w:val="0"/>
          <w:color w:val="808080"/>
          <w:sz w:val="24"/>
          <w:szCs w:val="24"/>
          <w:u w:val="none"/>
          <w:vertAlign w:val="baseline"/>
          <w:rtl w:val="0"/>
        </w:rPr>
        <w:t xml:space="preserve">y en el caso de</w:t>
      </w:r>
      <w:r w:rsidDel="00000000" w:rsidR="00000000" w:rsidRPr="00000000">
        <w:rPr>
          <w:rFonts w:ascii="Arial Narrow" w:cs="Arial Narrow" w:eastAsia="Arial Narrow" w:hAnsi="Arial Narrow"/>
          <w:i w:val="1"/>
          <w:color w:val="808080"/>
          <w:sz w:val="24"/>
          <w:szCs w:val="24"/>
          <w:rtl w:val="0"/>
        </w:rPr>
        <w:t xml:space="preserve"> México</w:t>
      </w:r>
      <w:r w:rsidDel="00000000" w:rsidR="00000000" w:rsidRPr="00000000">
        <w:rPr>
          <w:rFonts w:ascii="Arial Narrow" w:cs="Arial Narrow" w:eastAsia="Arial Narrow" w:hAnsi="Arial Narrow"/>
          <w:b w:val="0"/>
          <w:i w:val="1"/>
          <w:smallCaps w:val="0"/>
          <w:strike w:val="0"/>
          <w:color w:val="808080"/>
          <w:sz w:val="24"/>
          <w:szCs w:val="24"/>
          <w:u w:val="none"/>
          <w:vertAlign w:val="baseline"/>
          <w:rtl w:val="0"/>
        </w:rPr>
        <w:t xml:space="preserve"> es </w:t>
      </w:r>
      <w:r w:rsidDel="00000000" w:rsidR="00000000" w:rsidRPr="00000000">
        <w:rPr>
          <w:rFonts w:ascii="Arial Narrow" w:cs="Arial Narrow" w:eastAsia="Arial Narrow" w:hAnsi="Arial Narrow"/>
          <w:i w:val="1"/>
          <w:color w:val="808080"/>
          <w:sz w:val="24"/>
          <w:szCs w:val="24"/>
          <w:rtl w:val="0"/>
        </w:rPr>
        <w:t xml:space="preserve">poco más de</w:t>
      </w:r>
      <w:r w:rsidDel="00000000" w:rsidR="00000000" w:rsidRPr="00000000">
        <w:rPr>
          <w:rFonts w:ascii="Arial Narrow" w:cs="Arial Narrow" w:eastAsia="Arial Narrow" w:hAnsi="Arial Narrow"/>
          <w:b w:val="0"/>
          <w:i w:val="1"/>
          <w:smallCaps w:val="0"/>
          <w:strike w:val="0"/>
          <w:color w:val="808080"/>
          <w:sz w:val="24"/>
          <w:szCs w:val="24"/>
          <w:u w:val="none"/>
          <w:vertAlign w:val="baseline"/>
          <w:rtl w:val="0"/>
        </w:rPr>
        <w:t xml:space="preserve"> USD </w:t>
      </w:r>
      <w:r w:rsidDel="00000000" w:rsidR="00000000" w:rsidRPr="00000000">
        <w:rPr>
          <w:rFonts w:ascii="Arial Narrow" w:cs="Arial Narrow" w:eastAsia="Arial Narrow" w:hAnsi="Arial Narrow"/>
          <w:i w:val="1"/>
          <w:color w:val="808080"/>
          <w:sz w:val="24"/>
          <w:szCs w:val="24"/>
          <w:rtl w:val="0"/>
        </w:rPr>
        <w:t xml:space="preserve">16.900</w:t>
      </w:r>
      <w:r w:rsidDel="00000000" w:rsidR="00000000" w:rsidRPr="00000000">
        <w:rPr>
          <w:rFonts w:ascii="Arial Narrow" w:cs="Arial Narrow" w:eastAsia="Arial Narrow" w:hAnsi="Arial Narrow"/>
          <w:b w:val="0"/>
          <w:i w:val="1"/>
          <w:smallCaps w:val="0"/>
          <w:strike w:val="0"/>
          <w:color w:val="808080"/>
          <w:sz w:val="24"/>
          <w:szCs w:val="24"/>
          <w:u w:val="none"/>
          <w:vertAlign w:val="baseline"/>
          <w:rtl w:val="0"/>
        </w:rPr>
        <w:t xml:space="preserve"> millones,</w:t>
      </w:r>
      <w:r w:rsidDel="00000000" w:rsidR="00000000" w:rsidRPr="00000000">
        <w:rPr>
          <w:rFonts w:ascii="Arial Narrow" w:cs="Arial Narrow" w:eastAsia="Arial Narrow" w:hAnsi="Arial Narrow"/>
          <w:b w:val="0"/>
          <w:i w:val="1"/>
          <w:smallCaps w:val="0"/>
          <w:strike w:val="0"/>
          <w:color w:val="808080"/>
          <w:sz w:val="24"/>
          <w:szCs w:val="24"/>
          <w:u w:val="none"/>
          <w:vertAlign w:val="baseline"/>
          <w:rtl w:val="0"/>
        </w:rPr>
        <w:t xml:space="preserve"> según un estudio realizado por CAF para aportar en la definición de una agenda estratégica de la región a largo plazo que promueva su productividad. Este será uno de los temas en la </w:t>
      </w:r>
      <w:hyperlink r:id="rId6">
        <w:r w:rsidDel="00000000" w:rsidR="00000000" w:rsidRPr="00000000">
          <w:rPr>
            <w:rFonts w:ascii="Arial Narrow" w:cs="Arial Narrow" w:eastAsia="Arial Narrow" w:hAnsi="Arial Narrow"/>
            <w:b w:val="0"/>
            <w:i w:val="1"/>
            <w:smallCaps w:val="0"/>
            <w:strike w:val="0"/>
            <w:color w:val="0000ff"/>
            <w:sz w:val="24"/>
            <w:szCs w:val="24"/>
            <w:u w:val="single"/>
            <w:vertAlign w:val="baseline"/>
            <w:rtl w:val="0"/>
          </w:rPr>
          <w:t xml:space="preserve">Conferencia CAF: Infraestructura para la Integración de América Latina</w:t>
        </w:r>
      </w:hyperlink>
      <w:r w:rsidDel="00000000" w:rsidR="00000000" w:rsidRPr="00000000">
        <w:rPr>
          <w:rFonts w:ascii="Arial Narrow" w:cs="Arial Narrow" w:eastAsia="Arial Narrow" w:hAnsi="Arial Narrow"/>
          <w:b w:val="0"/>
          <w:i w:val="1"/>
          <w:smallCaps w:val="0"/>
          <w:strike w:val="0"/>
          <w:color w:val="808080"/>
          <w:sz w:val="24"/>
          <w:szCs w:val="24"/>
          <w:u w:val="none"/>
          <w:vertAlign w:val="baseline"/>
          <w:rtl w:val="0"/>
        </w:rPr>
        <w:t xml:space="preserve">, que se llevará a cabo en Madrid, España, el próximo 16 de julio.</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1"/>
          <w:smallCaps w:val="0"/>
          <w:strike w:val="0"/>
          <w:color w:val="808080"/>
          <w:sz w:val="24"/>
          <w:szCs w:val="24"/>
          <w:u w:val="none"/>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rFonts w:ascii="Arial Narrow" w:cs="Arial Narrow" w:eastAsia="Arial Narrow" w:hAnsi="Arial Narrow"/>
          <w:b w:val="0"/>
          <w:i w:val="0"/>
          <w:smallCaps w:val="0"/>
          <w:strike w:val="0"/>
          <w:color w:val="808080"/>
          <w:sz w:val="24"/>
          <w:szCs w:val="24"/>
          <w:u w:val="none"/>
          <w:vertAlign w:val="baseline"/>
          <w:rtl w:val="0"/>
        </w:rPr>
        <w:t xml:space="preserve">(</w:t>
      </w:r>
      <w:r w:rsidDel="00000000" w:rsidR="00000000" w:rsidRPr="00000000">
        <w:rPr>
          <w:rFonts w:ascii="Arial Narrow" w:cs="Arial Narrow" w:eastAsia="Arial Narrow" w:hAnsi="Arial Narrow"/>
          <w:b w:val="0"/>
          <w:i w:val="0"/>
          <w:smallCaps w:val="0"/>
          <w:strike w:val="0"/>
          <w:color w:val="808080"/>
          <w:sz w:val="24"/>
          <w:szCs w:val="24"/>
          <w:u w:val="none"/>
          <w:vertAlign w:val="baseline"/>
          <w:rtl w:val="0"/>
        </w:rPr>
        <w:t xml:space="preserve">Ciudad de </w:t>
      </w:r>
      <w:r w:rsidDel="00000000" w:rsidR="00000000" w:rsidRPr="00000000">
        <w:rPr>
          <w:rFonts w:ascii="Arial Narrow" w:cs="Arial Narrow" w:eastAsia="Arial Narrow" w:hAnsi="Arial Narrow"/>
          <w:color w:val="808080"/>
          <w:sz w:val="24"/>
          <w:szCs w:val="24"/>
          <w:rtl w:val="0"/>
        </w:rPr>
        <w:t xml:space="preserve">México</w:t>
      </w:r>
      <w:r w:rsidDel="00000000" w:rsidR="00000000" w:rsidRPr="00000000">
        <w:rPr>
          <w:rFonts w:ascii="Arial Narrow" w:cs="Arial Narrow" w:eastAsia="Arial Narrow" w:hAnsi="Arial Narrow"/>
          <w:b w:val="0"/>
          <w:i w:val="0"/>
          <w:smallCaps w:val="0"/>
          <w:strike w:val="0"/>
          <w:color w:val="808080"/>
          <w:sz w:val="24"/>
          <w:szCs w:val="24"/>
          <w:u w:val="none"/>
          <w:vertAlign w:val="baseline"/>
          <w:rtl w:val="0"/>
        </w:rPr>
        <w:t xml:space="preserve">, 26 de junio de 2018)-</w:t>
      </w:r>
      <w:r w:rsidDel="00000000" w:rsidR="00000000" w:rsidRPr="00000000">
        <w:rPr>
          <w:rFonts w:ascii="Arial Narrow" w:cs="Arial Narrow" w:eastAsia="Arial Narrow" w:hAnsi="Arial Narrow"/>
          <w:b w:val="0"/>
          <w:i w:val="0"/>
          <w:smallCaps w:val="0"/>
          <w:strike w:val="0"/>
          <w:color w:val="000000"/>
          <w:sz w:val="24"/>
          <w:szCs w:val="24"/>
          <w:u w:val="none"/>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
          <w:szCs w:val="22"/>
          <w:u w:val="none"/>
          <w:vertAlign w:val="baseline"/>
          <w:rtl w:val="0"/>
        </w:rPr>
        <w:t xml:space="preserve">El sector aeroportuario de América Latina y El Caribe (ALC) registró un crecimiento pro</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medio del 8% anual en el tráfico de pasajeros en la década 2006-2015, doblando el volumen de tráfico al pasar de 162 millones de pasajeros-año (Mpax-año) en 2006, hasta 322 Mpax en 2015, sin efectos de doble conteo. El sector se benefició del crecimiento económico en la región, junto con la internacionalización de las economías y la creciente demanda turística de Norteamérica y Europa.</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Actualmente, la aviación en ALC genera un impacto económico directo de más de USD 37.500 millones anuales y un impacto total de más de USD 152.000 millones, representando un 5% del aporte de la industria de la aviación a escala mundial. Además, el sector sostiene anualmente más de 4,9 millones de empleos totales.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ff"/>
          <w:sz w:val="22"/>
          <w:szCs w:val="22"/>
          <w:u w:val="singl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Con el propósito de identificar con mayor detalle las necesidades de inversión aeroportuaria en la región para aportar a la definición de una agenda estratégica en ALC a largo plazo que impulse la productividad, CAF –banco de desarrollo de América Latina- presenta el estudio </w:t>
      </w:r>
      <w:hyperlink r:id="rId7">
        <w:r w:rsidDel="00000000" w:rsidR="00000000" w:rsidRPr="00000000">
          <w:rPr>
            <w:rFonts w:ascii="Arial Narrow" w:cs="Arial Narrow" w:eastAsia="Arial Narrow" w:hAnsi="Arial Narrow"/>
            <w:b w:val="0"/>
            <w:i w:val="0"/>
            <w:smallCaps w:val="0"/>
            <w:strike w:val="0"/>
            <w:color w:val="0000ff"/>
            <w:sz w:val="22"/>
            <w:szCs w:val="22"/>
            <w:u w:val="single"/>
            <w:shd w:fill="auto" w:val="clear"/>
            <w:vertAlign w:val="baseline"/>
            <w:rtl w:val="0"/>
          </w:rPr>
          <w:t xml:space="preserve">Análisis de inversiones aeroportuarias en América Latina</w:t>
        </w:r>
      </w:hyperlink>
      <w:r w:rsidDel="00000000" w:rsidR="00000000" w:rsidRPr="00000000">
        <w:rPr>
          <w:rFonts w:ascii="Arial Narrow" w:cs="Arial Narrow" w:eastAsia="Arial Narrow" w:hAnsi="Arial Narrow"/>
          <w:b w:val="0"/>
          <w:i w:val="0"/>
          <w:smallCaps w:val="0"/>
          <w:strike w:val="0"/>
          <w:color w:val="0000ff"/>
          <w:sz w:val="22"/>
          <w:szCs w:val="22"/>
          <w:u w:val="single"/>
          <w:shd w:fill="auto" w:val="clear"/>
          <w:vertAlign w:val="baseline"/>
          <w:rtl w:val="0"/>
        </w:rPr>
        <w:t xml:space="preserve"> al horizonte 2040.</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El escenario base de las proyecciones realizadas para la región estima un crecimiento promedio del tráfico aéreo de pasajeros del 5,2% anual, pasando de los actuales 322 millones de pasajeros a 1.100 millones de pasajeros en 2040, triplicando su volumen en 25 años.</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ff"/>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“ALC es un mercado con gran potencial de crecimiento y con menor tamaño relativo comparado con regiones más avanzadas como Norteamérica (27,5%) y Europa (30,2%). La capacidad aeroportuaria actual alcanza los 741 millones de pasajeros (contando las salidas y llegadas, sin conteo doble), sin embargo se requerirá una capacidad de 1.727 Mpax-año hacia 2040. Las principales inversiones deben darse en la región Andina (341 Mpax; 34,6%), Brasil (260 Mpax; 26,3%) y México (229 Mpax; 23,2%)”, afirmó Rafael Farromeque, especialista senior de la Vicepresidencia de Infraestructura de CAF y autor del informe.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1"/>
          <w:i w:val="0"/>
          <w:smallCaps w:val="0"/>
          <w:strike w:val="0"/>
          <w:color w:val="595959"/>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595959"/>
          <w:sz w:val="22"/>
          <w:szCs w:val="22"/>
          <w:u w:val="none"/>
          <w:shd w:fill="auto" w:val="clear"/>
          <w:vertAlign w:val="baseline"/>
          <w:rtl w:val="0"/>
        </w:rPr>
        <w:t xml:space="preserve">Oportunidades de inversión</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Las inversiones estimadas en el informe para cerrar la brecha demanda-capacidad para el periodo 2016-2040 ascienden a un total de USD 53.150 millones a precios de 2016. Actualmente, USD 13.000 millones se encuentran ya en ejecución de la inversión. Cerca del 50% del total de las inversiones (USD 25.545 millones) requieren ejecutarse en la década venidera (2017-2026), debido a la alta necesidad de capacidad del sector. Cabe destacar que más del 80% de las inversiones serán enfocadas en aeropuertos con una gestión privada.</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México, Brasil y Colombia concentrarán casi el 70% del total de las inversiones, debido a las proyecciones de tráfico con crecimientos significativos y por la falta de capacidad en sus principales aeropuertos. Las inversiones involucran más de 220 proyectos ligados a un universo preliminar de proyectos que incluye algunos proyectos ‘greenfield’, nuevas terminales, nuevas pistas, así como mejoras de capacidad en diferentes subsistemas de los aeropuertos (campo de vuelo, plataforma, terminal de pasajeros y terminal de carga), etc.</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17">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La inversión en la Región México y Centroamérica asciende a más de USD 19.500 millones; el 87% de esta inversión se llevará a cabo en la red aeroportuaria de México, principalmente para el Nuevo Aeropuerto Internacional de la Ciudad de México (NAICM). En cuanto a la asignación de la inversión por subsistema de los aeropuertos, la mayor parte estará destinada a la expansión de las terminales de pasajeros y plataformas, representando el 68% de ésta, mientras que el campo de vuelo requiere el 27%. Por su parte, la infraestructura de carga requerirá 5% del total de la inversión que representa poco más de USD 1.000 millones.</w:t>
      </w:r>
    </w:p>
    <w:p w:rsidR="00000000" w:rsidDel="00000000" w:rsidP="00000000" w:rsidRDefault="00000000" w:rsidRPr="00000000" w14:paraId="00000018">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Además, se han identificado otros 53 proyectos con un total de USD 9.100 millones de inversión a 2040. México concentra 4 proyectos con inversiones superiores a los USD 100 millones para la construcción de nuevas terminales y pistas paralelas en los aeropuertos de Guadalajara, Monterrey y Cancún, y la segunda fase de ampliación del NAICM, así como obras de ampliación y remodelación en las terminales de carga.</w:t>
      </w:r>
      <w:r w:rsidDel="00000000" w:rsidR="00000000" w:rsidRPr="00000000">
        <w:rPr>
          <w:rtl w:val="0"/>
        </w:rPr>
      </w:r>
    </w:p>
    <w:p w:rsidR="00000000" w:rsidDel="00000000" w:rsidP="00000000" w:rsidRDefault="00000000" w:rsidRPr="00000000" w14:paraId="00000019">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En el informe se destaca que la inversión en terminales de pasajeros representa el 69% del total (USD 36.931 millones), mientras que la construcción de nuevas pistas demandará una inversión de USD 8.986 millones (17% del total). Las inversiones en facilidades logísticas para atender carga aérea se estiman en USD 3.127 millones, representando un 6% del total de inversiones en el sector aeroportuario de ALC a 2040.</w:t>
      </w:r>
    </w:p>
    <w:p w:rsidR="00000000" w:rsidDel="00000000" w:rsidP="00000000" w:rsidRDefault="00000000" w:rsidRPr="00000000" w14:paraId="0000001A">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“Las inversiones ayudarán a satisfacer la demanda de capacidad proyectada, sin embargo, ALC requiere una Agenda Estratégica Aeroportuaria 2040, a desarrollarse y desplegarse en torno a 5 ejes de actuación: gobernanza y marco legal; infraestructuras aeroportuarias; navegación aérea; conectividad aérea; y aeropuertos que estén en armonía con su entorno”, añadió Farromeque.</w:t>
      </w:r>
    </w:p>
    <w:p w:rsidR="00000000" w:rsidDel="00000000" w:rsidP="00000000" w:rsidRDefault="00000000" w:rsidRPr="00000000" w14:paraId="0000001B">
      <w:pPr>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Estas y otras oportunidades de inversión se abordarán en la </w:t>
      </w:r>
      <w:hyperlink r:id="rId8">
        <w:r w:rsidDel="00000000" w:rsidR="00000000" w:rsidRPr="00000000">
          <w:rPr>
            <w:rFonts w:ascii="Arial Narrow" w:cs="Arial Narrow" w:eastAsia="Arial Narrow" w:hAnsi="Arial Narrow"/>
            <w:color w:val="0000ff"/>
            <w:u w:val="single"/>
            <w:rtl w:val="0"/>
          </w:rPr>
          <w:t xml:space="preserve">Conferencia CAF: Infraestructura para la Integración de América Latina</w:t>
        </w:r>
      </w:hyperlink>
      <w:r w:rsidDel="00000000" w:rsidR="00000000" w:rsidRPr="00000000">
        <w:rPr>
          <w:rFonts w:ascii="Arial Narrow" w:cs="Arial Narrow" w:eastAsia="Arial Narrow" w:hAnsi="Arial Narrow"/>
          <w:rtl w:val="0"/>
        </w:rPr>
        <w:t xml:space="preserve">, que se realizará el 16 de julio en Casa de América en Madrid, España y contará con la participación de </w:t>
      </w:r>
      <w:r w:rsidDel="00000000" w:rsidR="00000000" w:rsidRPr="00000000">
        <w:rPr>
          <w:rFonts w:ascii="Arial Narrow" w:cs="Arial Narrow" w:eastAsia="Arial Narrow" w:hAnsi="Arial Narrow"/>
          <w:b w:val="1"/>
          <w:rtl w:val="0"/>
        </w:rPr>
        <w:t xml:space="preserve">Mariana Prado</w:t>
      </w:r>
      <w:r w:rsidDel="00000000" w:rsidR="00000000" w:rsidRPr="00000000">
        <w:rPr>
          <w:rFonts w:ascii="Arial Narrow" w:cs="Arial Narrow" w:eastAsia="Arial Narrow" w:hAnsi="Arial Narrow"/>
          <w:rtl w:val="0"/>
        </w:rPr>
        <w:t xml:space="preserve">, ministra de Planificación del Desarrollo de Bolivia; </w:t>
      </w:r>
      <w:r w:rsidDel="00000000" w:rsidR="00000000" w:rsidRPr="00000000">
        <w:rPr>
          <w:rFonts w:ascii="Arial Narrow" w:cs="Arial Narrow" w:eastAsia="Arial Narrow" w:hAnsi="Arial Narrow"/>
          <w:b w:val="1"/>
          <w:rtl w:val="0"/>
        </w:rPr>
        <w:t xml:space="preserve">Esteves Pedro Colnago</w:t>
      </w:r>
      <w:r w:rsidDel="00000000" w:rsidR="00000000" w:rsidRPr="00000000">
        <w:rPr>
          <w:rFonts w:ascii="Arial Narrow" w:cs="Arial Narrow" w:eastAsia="Arial Narrow" w:hAnsi="Arial Narrow"/>
          <w:rtl w:val="0"/>
        </w:rPr>
        <w:t xml:space="preserve">, presidente del Directorio de CAF y ministro de Planeamiento, Desarrollo y Gestión de Brasil; </w:t>
      </w:r>
      <w:r w:rsidDel="00000000" w:rsidR="00000000" w:rsidRPr="00000000">
        <w:rPr>
          <w:rFonts w:ascii="Arial Narrow" w:cs="Arial Narrow" w:eastAsia="Arial Narrow" w:hAnsi="Arial Narrow"/>
          <w:b w:val="1"/>
          <w:rtl w:val="0"/>
        </w:rPr>
        <w:t xml:space="preserve">Mauricio Cárdenas</w:t>
      </w:r>
      <w:r w:rsidDel="00000000" w:rsidR="00000000" w:rsidRPr="00000000">
        <w:rPr>
          <w:rFonts w:ascii="Arial Narrow" w:cs="Arial Narrow" w:eastAsia="Arial Narrow" w:hAnsi="Arial Narrow"/>
          <w:rtl w:val="0"/>
        </w:rPr>
        <w:t xml:space="preserve">, ministro de Hacienda y Crédito Público de Colombia; </w:t>
      </w:r>
      <w:r w:rsidDel="00000000" w:rsidR="00000000" w:rsidRPr="00000000">
        <w:rPr>
          <w:rFonts w:ascii="Arial Narrow" w:cs="Arial Narrow" w:eastAsia="Arial Narrow" w:hAnsi="Arial Narrow"/>
          <w:b w:val="1"/>
          <w:rtl w:val="0"/>
        </w:rPr>
        <w:t xml:space="preserve">Pilar Más,</w:t>
      </w:r>
      <w:r w:rsidDel="00000000" w:rsidR="00000000" w:rsidRPr="00000000">
        <w:rPr>
          <w:rFonts w:ascii="Arial Narrow" w:cs="Arial Narrow" w:eastAsia="Arial Narrow" w:hAnsi="Arial Narrow"/>
          <w:rtl w:val="0"/>
        </w:rPr>
        <w:t xml:space="preserve"> directora general de Análisis Macroeconómico y Economía Internacional del Ministerio de Economía y Empresa de España; </w:t>
      </w:r>
      <w:r w:rsidDel="00000000" w:rsidR="00000000" w:rsidRPr="00000000">
        <w:rPr>
          <w:rFonts w:ascii="Arial Narrow" w:cs="Arial Narrow" w:eastAsia="Arial Narrow" w:hAnsi="Arial Narrow"/>
          <w:b w:val="1"/>
          <w:rtl w:val="0"/>
        </w:rPr>
        <w:t xml:space="preserve">Dulcidio De la Guardia</w:t>
      </w:r>
      <w:r w:rsidDel="00000000" w:rsidR="00000000" w:rsidRPr="00000000">
        <w:rPr>
          <w:rFonts w:ascii="Arial Narrow" w:cs="Arial Narrow" w:eastAsia="Arial Narrow" w:hAnsi="Arial Narrow"/>
          <w:rtl w:val="0"/>
        </w:rPr>
        <w:t xml:space="preserve">, ministro de Economía y Finanzas de Panamá; </w:t>
      </w:r>
      <w:r w:rsidDel="00000000" w:rsidR="00000000" w:rsidRPr="00000000">
        <w:rPr>
          <w:rFonts w:ascii="Arial Narrow" w:cs="Arial Narrow" w:eastAsia="Arial Narrow" w:hAnsi="Arial Narrow"/>
          <w:b w:val="1"/>
          <w:rtl w:val="0"/>
        </w:rPr>
        <w:t xml:space="preserve">Lea Giménez</w:t>
      </w:r>
      <w:r w:rsidDel="00000000" w:rsidR="00000000" w:rsidRPr="00000000">
        <w:rPr>
          <w:rFonts w:ascii="Arial Narrow" w:cs="Arial Narrow" w:eastAsia="Arial Narrow" w:hAnsi="Arial Narrow"/>
          <w:rtl w:val="0"/>
        </w:rPr>
        <w:t xml:space="preserve">, ministra de Hacienda de Paraguay; </w:t>
      </w:r>
      <w:r w:rsidDel="00000000" w:rsidR="00000000" w:rsidRPr="00000000">
        <w:rPr>
          <w:rFonts w:ascii="Arial Narrow" w:cs="Arial Narrow" w:eastAsia="Arial Narrow" w:hAnsi="Arial Narrow"/>
          <w:b w:val="1"/>
          <w:rtl w:val="0"/>
        </w:rPr>
        <w:t xml:space="preserve">Danilo Astori</w:t>
      </w:r>
      <w:r w:rsidDel="00000000" w:rsidR="00000000" w:rsidRPr="00000000">
        <w:rPr>
          <w:rFonts w:ascii="Arial Narrow" w:cs="Arial Narrow" w:eastAsia="Arial Narrow" w:hAnsi="Arial Narrow"/>
          <w:rtl w:val="0"/>
        </w:rPr>
        <w:t xml:space="preserve">, ministro de Economía y Finanzas de Uruguay; </w:t>
      </w:r>
      <w:r w:rsidDel="00000000" w:rsidR="00000000" w:rsidRPr="00000000">
        <w:rPr>
          <w:rFonts w:ascii="Arial Narrow" w:cs="Arial Narrow" w:eastAsia="Arial Narrow" w:hAnsi="Arial Narrow"/>
          <w:b w:val="1"/>
          <w:rtl w:val="0"/>
        </w:rPr>
        <w:t xml:space="preserve">Salvador Marín</w:t>
      </w:r>
      <w:r w:rsidDel="00000000" w:rsidR="00000000" w:rsidRPr="00000000">
        <w:rPr>
          <w:rFonts w:ascii="Arial Narrow" w:cs="Arial Narrow" w:eastAsia="Arial Narrow" w:hAnsi="Arial Narrow"/>
          <w:rtl w:val="0"/>
        </w:rPr>
        <w:t xml:space="preserve">, presidente de COFIDES; </w:t>
      </w:r>
      <w:r w:rsidDel="00000000" w:rsidR="00000000" w:rsidRPr="00000000">
        <w:rPr>
          <w:rFonts w:ascii="Arial Narrow" w:cs="Arial Narrow" w:eastAsia="Arial Narrow" w:hAnsi="Arial Narrow"/>
          <w:b w:val="1"/>
          <w:rtl w:val="0"/>
        </w:rPr>
        <w:t xml:space="preserve">Joan Rosell</w:t>
      </w:r>
      <w:r w:rsidDel="00000000" w:rsidR="00000000" w:rsidRPr="00000000">
        <w:rPr>
          <w:rFonts w:ascii="Arial Narrow" w:cs="Arial Narrow" w:eastAsia="Arial Narrow" w:hAnsi="Arial Narrow"/>
          <w:rtl w:val="0"/>
        </w:rPr>
        <w:t xml:space="preserve">, presidente de la Confederación Española de Organizaciones Empresariales (CEOE) y </w:t>
      </w:r>
      <w:r w:rsidDel="00000000" w:rsidR="00000000" w:rsidRPr="00000000">
        <w:rPr>
          <w:rFonts w:ascii="Arial Narrow" w:cs="Arial Narrow" w:eastAsia="Arial Narrow" w:hAnsi="Arial Narrow"/>
          <w:b w:val="1"/>
          <w:rtl w:val="0"/>
        </w:rPr>
        <w:t xml:space="preserve">Juan Béjar</w:t>
      </w:r>
      <w:r w:rsidDel="00000000" w:rsidR="00000000" w:rsidRPr="00000000">
        <w:rPr>
          <w:rFonts w:ascii="Arial Narrow" w:cs="Arial Narrow" w:eastAsia="Arial Narrow" w:hAnsi="Arial Narrow"/>
          <w:rtl w:val="0"/>
        </w:rPr>
        <w:t xml:space="preserve">, presidente de Globalvía, entre otros.</w:t>
      </w:r>
    </w:p>
    <w:p w:rsidR="00000000" w:rsidDel="00000000" w:rsidP="00000000" w:rsidRDefault="00000000" w:rsidRPr="00000000" w14:paraId="0000001C">
      <w:pPr>
        <w:contextualSpacing w:val="0"/>
        <w:rPr>
          <w:rFonts w:ascii="Arial Narrow" w:cs="Arial Narrow" w:eastAsia="Arial Narrow" w:hAnsi="Arial Narrow"/>
          <w:color w:val="0000ff"/>
          <w:u w:val="single"/>
        </w:rPr>
      </w:pPr>
      <w:r w:rsidDel="00000000" w:rsidR="00000000" w:rsidRPr="00000000">
        <w:rPr>
          <w:rFonts w:ascii="Arial Narrow" w:cs="Arial Narrow" w:eastAsia="Arial Narrow" w:hAnsi="Arial Narrow"/>
          <w:color w:val="000000"/>
          <w:rtl w:val="0"/>
        </w:rPr>
        <w:t xml:space="preserve">El programa completo del evento y el registro para asistir de forma gratuita lo puede </w:t>
      </w:r>
      <w:hyperlink r:id="rId9">
        <w:r w:rsidDel="00000000" w:rsidR="00000000" w:rsidRPr="00000000">
          <w:rPr>
            <w:rFonts w:ascii="Arial Narrow" w:cs="Arial Narrow" w:eastAsia="Arial Narrow" w:hAnsi="Arial Narrow"/>
            <w:color w:val="0000ff"/>
            <w:u w:val="single"/>
            <w:rtl w:val="0"/>
          </w:rPr>
          <w:t xml:space="preserve">realizar aquí.</w:t>
        </w:r>
      </w:hyperlink>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financiamiento multilateral y un importante generador de conocimiento para la región. Más información en </w:t>
      </w:r>
      <w:hyperlink r:id="rId10">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www.caf.com</w:t>
        </w:r>
      </w:hyperlink>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contextualSpacing w:val="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-88899</wp:posOffset>
                </wp:positionH>
                <wp:positionV relativeFrom="paragraph">
                  <wp:posOffset>88900</wp:posOffset>
                </wp:positionV>
                <wp:extent cx="5648325" cy="28575"/>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-88899</wp:posOffset>
                </wp:positionH>
                <wp:positionV relativeFrom="paragraph">
                  <wp:posOffset>88900</wp:posOffset>
                </wp:positionV>
                <wp:extent cx="5648325" cy="28575"/>
                <wp:effectExtent b="0" l="0" r="0" t="0"/>
                <wp:wrapNone/>
                <wp:docPr id="1"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5648325" cy="28575"/>
                        </a:xfrm>
                        <a:prstGeom prst="rect"/>
                        <a:ln/>
                      </pic:spPr>
                    </pic:pic>
                  </a:graphicData>
                </a:graphic>
              </wp:anchor>
            </w:drawing>
          </mc:Fallback>
        </mc:AlternateConten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CAF, Dirección de Comunicación Estratégica, </w:t>
      </w:r>
      <w:hyperlink r:id="rId12">
        <w:r w:rsidDel="00000000" w:rsidR="00000000" w:rsidRPr="00000000">
          <w:rPr>
            <w:rFonts w:ascii="Arial Narrow" w:cs="Arial Narrow" w:eastAsia="Arial Narrow" w:hAnsi="Arial Narrow"/>
            <w:b w:val="0"/>
            <w:i w:val="0"/>
            <w:smallCaps w:val="0"/>
            <w:strike w:val="0"/>
            <w:color w:val="0000ff"/>
            <w:sz w:val="16"/>
            <w:szCs w:val="16"/>
            <w:u w:val="single"/>
            <w:shd w:fill="auto" w:val="clear"/>
            <w:vertAlign w:val="baseline"/>
            <w:rtl w:val="0"/>
          </w:rPr>
          <w:t xml:space="preserve">prensa@caf.com</w:t>
        </w:r>
      </w:hyperlink>
      <w:r w:rsidDel="00000000" w:rsidR="00000000" w:rsidRPr="00000000">
        <w:rPr>
          <w:rtl w:val="0"/>
        </w:rPr>
      </w:r>
    </w:p>
    <w:p w:rsidR="00000000" w:rsidDel="00000000" w:rsidP="00000000" w:rsidRDefault="00000000" w:rsidRPr="00000000" w14:paraId="00000020">
      <w:pPr>
        <w:shd w:fill="ffffff" w:val="clear"/>
        <w:contextualSpacing w:val="0"/>
        <w:rPr>
          <w:rFonts w:ascii="Arial Narrow" w:cs="Arial Narrow" w:eastAsia="Arial Narrow" w:hAnsi="Arial Narrow"/>
          <w:color w:val="0000ff"/>
          <w:sz w:val="16"/>
          <w:szCs w:val="16"/>
          <w:u w:val="single"/>
        </w:rPr>
      </w:pPr>
      <w:r w:rsidDel="00000000" w:rsidR="00000000" w:rsidRPr="00000000">
        <w:rPr>
          <w:rFonts w:ascii="Arial Narrow" w:cs="Arial Narrow" w:eastAsia="Arial Narrow" w:hAnsi="Arial Narrow"/>
          <w:sz w:val="16"/>
          <w:szCs w:val="16"/>
          <w:rtl w:val="0"/>
        </w:rPr>
        <w:t xml:space="preserve">Encuéntrenos en: </w:t>
      </w:r>
      <w:r w:rsidDel="00000000" w:rsidR="00000000" w:rsidRPr="00000000">
        <w:rPr>
          <w:rFonts w:ascii="Arial Narrow" w:cs="Arial Narrow" w:eastAsia="Arial Narrow" w:hAnsi="Arial Narrow"/>
          <w:color w:val="000000"/>
          <w:sz w:val="16"/>
          <w:szCs w:val="16"/>
          <w:rtl w:val="0"/>
        </w:rPr>
        <w:t xml:space="preserve">Facebook: </w:t>
      </w:r>
      <w:hyperlink r:id="rId13">
        <w:r w:rsidDel="00000000" w:rsidR="00000000" w:rsidRPr="00000000">
          <w:rPr>
            <w:rFonts w:ascii="Arial Narrow" w:cs="Arial Narrow" w:eastAsia="Arial Narrow" w:hAnsi="Arial Narrow"/>
            <w:color w:val="0000ff"/>
            <w:sz w:val="16"/>
            <w:szCs w:val="16"/>
            <w:u w:val="single"/>
            <w:rtl w:val="0"/>
          </w:rPr>
          <w:t xml:space="preserve">CAF.America.Latina</w:t>
        </w:r>
      </w:hyperlink>
      <w:r w:rsidDel="00000000" w:rsidR="00000000" w:rsidRPr="00000000">
        <w:rPr>
          <w:rFonts w:ascii="Arial Narrow" w:cs="Arial Narrow" w:eastAsia="Arial Narrow" w:hAnsi="Arial Narrow"/>
          <w:color w:val="000000"/>
          <w:sz w:val="16"/>
          <w:szCs w:val="16"/>
          <w:rtl w:val="0"/>
        </w:rPr>
        <w:t xml:space="preserve"> / </w:t>
      </w:r>
      <w:r w:rsidDel="00000000" w:rsidR="00000000" w:rsidRPr="00000000">
        <w:rPr>
          <w:rFonts w:ascii="Arial Narrow" w:cs="Arial Narrow" w:eastAsia="Arial Narrow" w:hAnsi="Arial Narrow"/>
          <w:sz w:val="16"/>
          <w:szCs w:val="16"/>
          <w:rtl w:val="0"/>
        </w:rPr>
        <w:t xml:space="preserve">Twitter: </w:t>
      </w:r>
      <w:hyperlink r:id="rId14">
        <w:r w:rsidDel="00000000" w:rsidR="00000000" w:rsidRPr="00000000">
          <w:rPr>
            <w:rFonts w:ascii="Arial Narrow" w:cs="Arial Narrow" w:eastAsia="Arial Narrow" w:hAnsi="Arial Narrow"/>
            <w:color w:val="0000ff"/>
            <w:sz w:val="16"/>
            <w:szCs w:val="16"/>
            <w:u w:val="single"/>
            <w:rtl w:val="0"/>
          </w:rPr>
          <w:t xml:space="preserve">@AgendaCAF</w:t>
        </w:r>
      </w:hyperlink>
      <w:r w:rsidDel="00000000" w:rsidR="00000000" w:rsidRPr="00000000">
        <w:rPr>
          <w:rtl w:val="0"/>
        </w:rPr>
      </w:r>
    </w:p>
    <w:p w:rsidR="00000000" w:rsidDel="00000000" w:rsidP="00000000" w:rsidRDefault="00000000" w:rsidRPr="00000000" w14:paraId="00000021">
      <w:pPr>
        <w:shd w:fill="ffffff" w:val="clear"/>
        <w:contextualSpacing w:val="0"/>
        <w:rPr/>
      </w:pPr>
      <w:r w:rsidDel="00000000" w:rsidR="00000000" w:rsidRPr="00000000">
        <w:rPr>
          <w:rtl w:val="0"/>
        </w:rPr>
        <w:t xml:space="preserve">Gráficos para complementar el comunicado</w:t>
      </w:r>
    </w:p>
    <w:p w:rsidR="00000000" w:rsidDel="00000000" w:rsidP="00000000" w:rsidRDefault="00000000" w:rsidRPr="00000000" w14:paraId="00000022">
      <w:pPr>
        <w:shd w:fill="ffffff" w:val="clear"/>
        <w:contextualSpacing w:val="0"/>
        <w:jc w:val="center"/>
        <w:rPr/>
      </w:pPr>
      <w:r w:rsidDel="00000000" w:rsidR="00000000" w:rsidRPr="00000000">
        <w:rPr/>
        <w:drawing>
          <wp:inline distB="0" distT="0" distL="0" distR="0">
            <wp:extent cx="4801553" cy="3404737"/>
            <wp:effectExtent b="0" l="0" r="0" t="0"/>
            <wp:docPr id="2" name="image6.png"/>
            <a:graphic>
              <a:graphicData uri="http://schemas.openxmlformats.org/drawingml/2006/picture">
                <pic:pic>
                  <pic:nvPicPr>
                    <pic:cNvPr id="0" name="image6.png"/>
                    <pic:cNvPicPr preferRelativeResize="0"/>
                  </pic:nvPicPr>
                  <pic:blipFill>
                    <a:blip r:embed="rId15"/>
                    <a:srcRect b="4698" l="18082" r="16633" t="12895"/>
                    <a:stretch>
                      <a:fillRect/>
                    </a:stretch>
                  </pic:blipFill>
                  <pic:spPr>
                    <a:xfrm>
                      <a:off x="0" y="0"/>
                      <a:ext cx="4801553" cy="3404737"/>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shd w:fill="ffffff" w:val="clear"/>
        <w:contextualSpacing w:val="0"/>
        <w:jc w:val="center"/>
        <w:rPr/>
      </w:pPr>
      <w:r w:rsidDel="00000000" w:rsidR="00000000" w:rsidRPr="00000000">
        <w:rPr/>
        <w:drawing>
          <wp:inline distB="0" distT="0" distL="0" distR="0">
            <wp:extent cx="3981450" cy="2642785"/>
            <wp:effectExtent b="0" l="0" r="0" t="0"/>
            <wp:docPr id="4" name="image8.png"/>
            <a:graphic>
              <a:graphicData uri="http://schemas.openxmlformats.org/drawingml/2006/picture">
                <pic:pic>
                  <pic:nvPicPr>
                    <pic:cNvPr id="0" name="image8.png"/>
                    <pic:cNvPicPr preferRelativeResize="0"/>
                  </pic:nvPicPr>
                  <pic:blipFill>
                    <a:blip r:embed="rId16"/>
                    <a:srcRect b="6715" l="15256" r="18244" t="14737"/>
                    <a:stretch>
                      <a:fillRect/>
                    </a:stretch>
                  </pic:blipFill>
                  <pic:spPr>
                    <a:xfrm>
                      <a:off x="0" y="0"/>
                      <a:ext cx="3981450" cy="2642785"/>
                    </a:xfrm>
                    <a:prstGeom prst="rect"/>
                    <a:ln/>
                  </pic:spPr>
                </pic:pic>
              </a:graphicData>
            </a:graphic>
          </wp:inline>
        </w:drawing>
      </w:r>
      <w:r w:rsidDel="00000000" w:rsidR="00000000" w:rsidRPr="00000000">
        <w:rPr>
          <w:rtl w:val="0"/>
        </w:rPr>
      </w:r>
    </w:p>
    <w:sectPr>
      <w:headerReference r:id="rId17"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070841" cy="441113"/>
          <wp:effectExtent b="0" l="0" r="0" t="0"/>
          <wp:docPr descr="C:\Users\MEHERNANDEZ\Desktop\CAF Logo Color Horizontal.png" id="3" name="image7.png"/>
          <a:graphic>
            <a:graphicData uri="http://schemas.openxmlformats.org/drawingml/2006/picture">
              <pic:pic>
                <pic:nvPicPr>
                  <pic:cNvPr descr="C:\Users\MEHERNANDEZ\Desktop\CAF Logo Color Horizontal.png" id="0" name="image7.png"/>
                  <pic:cNvPicPr preferRelativeResize="0"/>
                </pic:nvPicPr>
                <pic:blipFill>
                  <a:blip r:embed="rId1"/>
                  <a:srcRect b="0" l="0" r="0" t="0"/>
                  <a:stretch>
                    <a:fillRect/>
                  </a:stretch>
                </pic:blipFill>
                <pic:spPr>
                  <a:xfrm>
                    <a:off x="0" y="0"/>
                    <a:ext cx="2070841" cy="4411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hyperlink" Target="http://www.caf.com/" TargetMode="External"/><Relationship Id="rId13" Type="http://schemas.openxmlformats.org/officeDocument/2006/relationships/hyperlink" Target="https://www.facebook.com/CAF.America.Latina" TargetMode="External"/><Relationship Id="rId12" Type="http://schemas.openxmlformats.org/officeDocument/2006/relationships/hyperlink" Target="mailto:prensa@caf.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f.com/es/actualidad/eventos/2018/07/infraestructura-para-la-integracion-de-america-latina/" TargetMode="External"/><Relationship Id="rId15" Type="http://schemas.openxmlformats.org/officeDocument/2006/relationships/image" Target="media/image6.png"/><Relationship Id="rId14" Type="http://schemas.openxmlformats.org/officeDocument/2006/relationships/hyperlink" Target="https://twitter.com/AgendaCAF" TargetMode="External"/><Relationship Id="rId17" Type="http://schemas.openxmlformats.org/officeDocument/2006/relationships/header" Target="header1.xml"/><Relationship Id="rId16" Type="http://schemas.openxmlformats.org/officeDocument/2006/relationships/image" Target="media/image8.png"/><Relationship Id="rId5" Type="http://schemas.openxmlformats.org/officeDocument/2006/relationships/styles" Target="styles.xml"/><Relationship Id="rId6" Type="http://schemas.openxmlformats.org/officeDocument/2006/relationships/hyperlink" Target="https://www.caf.com/es/actualidad/eventos/2018/07/infraestructura-para-la-integracion-de-america-latina/" TargetMode="External"/><Relationship Id="rId7" Type="http://schemas.openxmlformats.org/officeDocument/2006/relationships/hyperlink" Target="http://scioteca.caf.com/bitstream/handle/123456789/1160/An%C3%A1lisis%20de%20inversiones%20aeroportuarias%20en%20Am%C3%A9rica%20Latina%20y%20el%20Caribe%20al%20horizonte%202040.pdf?sequence=5&amp;isAllowed=y" TargetMode="External"/><Relationship Id="rId8" Type="http://schemas.openxmlformats.org/officeDocument/2006/relationships/hyperlink" Target="https://www.caf.com/es/actualidad/eventos/2018/07/infraestructura-para-la-integracion-de-america-latin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